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u w:val="none"/>
          <w:shd w:val="clear" w:fill="auto"/>
          <w:vertAlign w:val="baseline"/>
        </w:rPr>
      </w:pPr>
      <w:r>
        <w:rPr>
          <w:rFonts w:ascii="Calibri" w:hAnsi="Calibri" w:eastAsia="Calibri" w:cs="Calibri"/>
          <w:b/>
          <w:bCs/>
          <w:i w:val="0"/>
          <w:iCs w:val="0"/>
          <w:smallCaps w:val="0"/>
          <w:strike w:val="0"/>
          <w:color w:val="000000"/>
          <w:u w:val="none"/>
          <w:shd w:val="clear" w:fill="auto"/>
          <w:vertAlign w:val="baseline"/>
          <w:rtl w:val="0"/>
        </w:rPr>
        <w:t>PRIVACY POLICY</w:t>
      </w: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Effective Date: February 3, 2026</w:t>
      </w:r>
    </w:p>
    <w:p w14:paraId="0000000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bookmarkStart w:id="0" w:name="_heading=h.zcxt5qma3zvw" w:colFirst="0" w:colLast="0"/>
      <w:bookmarkEnd w:id="0"/>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Bridgepoint Finance Limited (“Bridgepoint Finance,” “we,” “our,” or “us”) is committed to protecting the privacy, confidentiality, and security of all personal data entrusted to us. This Privacy Policy explains your rights as a data subject and outlines how we collect, use, process, store, share, and secure your personal information when you interact with our website, visit our physical offices, or use any of our digital platforms (collectively, the </w:t>
      </w:r>
      <w:r>
        <w:rPr>
          <w:rFonts w:ascii="Calibri" w:hAnsi="Calibri" w:eastAsia="Calibri" w:cs="Calibri"/>
          <w:b/>
          <w:bCs/>
          <w:i w:val="0"/>
          <w:iCs w:val="0"/>
          <w:smallCaps w:val="0"/>
          <w:strike w:val="0"/>
          <w:color w:val="000000"/>
          <w:sz w:val="20"/>
          <w:szCs w:val="20"/>
          <w:u w:val="none"/>
          <w:shd w:val="clear" w:fill="auto"/>
          <w:vertAlign w:val="baseline"/>
          <w:rtl w:val="0"/>
        </w:rPr>
        <w:t>“Platform” or “Services”</w:t>
      </w:r>
      <w:r>
        <w:rPr>
          <w:rFonts w:ascii="Calibri" w:hAnsi="Calibri" w:eastAsia="Calibri" w:cs="Calibri"/>
          <w:b w:val="0"/>
          <w:bCs w:val="0"/>
          <w:i w:val="0"/>
          <w:iCs w:val="0"/>
          <w:smallCaps w:val="0"/>
          <w:strike w:val="0"/>
          <w:color w:val="000000"/>
          <w:sz w:val="20"/>
          <w:szCs w:val="20"/>
          <w:u w:val="none"/>
          <w:shd w:val="clear" w:fill="auto"/>
          <w:vertAlign w:val="baseline"/>
          <w:rtl w:val="0"/>
        </w:rPr>
        <w:t>).</w:t>
      </w:r>
    </w:p>
    <w:p w14:paraId="0000000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This Policy is designed in accordance with the </w:t>
      </w:r>
      <w:r>
        <w:rPr>
          <w:rFonts w:ascii="Calibri" w:hAnsi="Calibri" w:eastAsia="Calibri" w:cs="Calibri"/>
          <w:b/>
          <w:bCs/>
          <w:i w:val="0"/>
          <w:iCs w:val="0"/>
          <w:smallCaps w:val="0"/>
          <w:strike w:val="0"/>
          <w:color w:val="000000"/>
          <w:sz w:val="20"/>
          <w:szCs w:val="20"/>
          <w:u w:val="none"/>
          <w:shd w:val="clear" w:fill="auto"/>
          <w:vertAlign w:val="baseline"/>
          <w:rtl w:val="0"/>
        </w:rPr>
        <w:t>Nigeria Data Protection Act (NDPA) 2023</w:t>
      </w: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 and other applicable privacy laws.</w:t>
      </w:r>
    </w:p>
    <w:p w14:paraId="0000000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1. Consent</w:t>
      </w:r>
    </w:p>
    <w:p w14:paraId="0000000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By accessing or using our Platform, submitting information through our digital channels, or visiting our physical offices, you acknowledge and consent to the collection, processing, and use of your personal data as described in this Privacy Policy.</w:t>
      </w:r>
    </w:p>
    <w:p w14:paraId="0000000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Where applicable, we may request your explicit consent for certain processing activities (e.g., marketing, third-party data sharing, or access to device information).</w:t>
      </w:r>
    </w:p>
    <w:p w14:paraId="0000001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2. Personal Data We Collect</w:t>
      </w:r>
    </w:p>
    <w:p w14:paraId="0000001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may collect different categories of personal data depending on how you use our Services:</w:t>
      </w:r>
    </w:p>
    <w:p w14:paraId="0000001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 Account Registration Data</w:t>
      </w:r>
    </w:p>
    <w:p w14:paraId="0000001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When creating an account or onboarding, we collect personal information required for service delivery and compliance (e.g., KYC/AML obligations), including:</w:t>
      </w:r>
    </w:p>
    <w:p w14:paraId="0000001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Full name, gender, date of birth</w:t>
      </w:r>
    </w:p>
    <w:p w14:paraId="0000001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Photograph or biometric data</w:t>
      </w:r>
    </w:p>
    <w:p w14:paraId="00000016">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Residential address</w:t>
      </w:r>
    </w:p>
    <w:p w14:paraId="00000017">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Means of identification, ID numbers, NIN, BVN</w:t>
      </w:r>
    </w:p>
    <w:p w14:paraId="00000018">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Email address, phone number, and social media handles</w:t>
      </w:r>
    </w:p>
    <w:p w14:paraId="00000019">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Utility bills</w:t>
      </w:r>
    </w:p>
    <w:p w14:paraId="0000001A">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Debit/credit card details</w:t>
      </w:r>
    </w:p>
    <w:p w14:paraId="0000001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bookmarkStart w:id="1" w:name="_GoBack"/>
      <w:bookmarkEnd w:id="1"/>
    </w:p>
    <w:p w14:paraId="0000001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 Additional Information</w:t>
      </w:r>
    </w:p>
    <w:p w14:paraId="0000001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may request further information as needed to complete transactions or support customer service interactions.</w:t>
      </w:r>
    </w:p>
    <w:p w14:paraId="0000001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iii. Transaction &amp; Financial Data</w:t>
      </w:r>
    </w:p>
    <w:p w14:paraId="0000001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This may include:</w:t>
      </w:r>
    </w:p>
    <w:p w14:paraId="00000020">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Loan details, repayment history, interest rates</w:t>
      </w:r>
    </w:p>
    <w:p w14:paraId="00000021">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Transfers, payments, and merchant information</w:t>
      </w:r>
    </w:p>
    <w:p w14:paraId="00000022">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Device details and location data</w:t>
      </w:r>
    </w:p>
    <w:p w14:paraId="00000023">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Data from third-party partners (e.g., credit bureaus)</w:t>
      </w:r>
    </w:p>
    <w:p w14:paraId="0000002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App usage information and activity logs</w:t>
      </w:r>
    </w:p>
    <w:p w14:paraId="0000002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iv. Participant &amp; Contact Information</w:t>
      </w:r>
    </w:p>
    <w:p w14:paraId="0000002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With your permission, we may access your phone contacts to facilitate transactions. We may also collect the names and account details of individuals involved in transactions you initiate.</w:t>
      </w:r>
    </w:p>
    <w:p w14:paraId="0000002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 Image &amp; Identity Data</w:t>
      </w:r>
    </w:p>
    <w:p w14:paraId="0000002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Photographs, ID uploads, or video verification used for KYC, fraud prevention, or customer support interactions.</w:t>
      </w:r>
    </w:p>
    <w:p w14:paraId="0000002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 External Sources</w:t>
      </w:r>
    </w:p>
    <w:p w14:paraId="0000002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Information received through our social media channels or customer support platforms.</w:t>
      </w:r>
    </w:p>
    <w:p w14:paraId="0000002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vii. Other Usage Data</w:t>
      </w:r>
    </w:p>
    <w:p w14:paraId="000000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Information captured during surveys, customer support interactions, or through device permissions (e.g., SMS for credit assessments—upon your consent).</w:t>
      </w:r>
    </w:p>
    <w:p w14:paraId="0000002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viii. Job Application Data</w:t>
      </w:r>
    </w:p>
    <w:p w14:paraId="0000002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If you apply for employment, we may collect:</w:t>
      </w:r>
    </w:p>
    <w:p w14:paraId="0000002F">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Educational background</w:t>
      </w:r>
    </w:p>
    <w:p w14:paraId="00000030">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Employment history</w:t>
      </w:r>
    </w:p>
    <w:p w14:paraId="000000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ix. Children’s Data</w:t>
      </w:r>
    </w:p>
    <w:p w14:paraId="0000003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do not knowingly collect the data of individuals under 18. If such data is identified, it will be deleted promptly.</w:t>
      </w:r>
    </w:p>
    <w:p w14:paraId="0000003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p>
    <w:p w14:paraId="0000003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p>
    <w:p w14:paraId="0000003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3. Data Retention</w:t>
      </w:r>
    </w:p>
    <w:p w14:paraId="000000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retain personal data only for as long as necessary to fulfil the purposes for which it was collected and to meet legal, regulatory, or business requirements. After the retention period expires, your data will be securely deleted or anonymized in accordance with applicable standards.</w:t>
      </w:r>
    </w:p>
    <w:p w14:paraId="0000003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4. How We Process Your Personal Data</w:t>
      </w:r>
    </w:p>
    <w:p w14:paraId="0000003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Your personal data may be processed for the following purposes:</w:t>
      </w:r>
    </w:p>
    <w:p w14:paraId="0000003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 Service Delivery</w:t>
      </w:r>
    </w:p>
    <w:p w14:paraId="0000003A">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Facilitating payments, transactions, and loan services</w:t>
      </w:r>
    </w:p>
    <w:p w14:paraId="0000003B">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Account authentication and verification</w:t>
      </w:r>
    </w:p>
    <w:p w14:paraId="0000003C">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Communicating with you about your account or transactions</w:t>
      </w:r>
    </w:p>
    <w:p w14:paraId="0000003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 Fraud Prevention &amp; Risk Management</w:t>
      </w:r>
    </w:p>
    <w:p w14:paraId="0000003E">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Detecting and preventing fraud</w:t>
      </w:r>
    </w:p>
    <w:p w14:paraId="0000003F">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Conducting risk assessments using device, behavioral, and geo-location data</w:t>
      </w:r>
    </w:p>
    <w:p w14:paraId="0000004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iii. Legal Compliance</w:t>
      </w:r>
    </w:p>
    <w:p w14:paraId="00000041">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Meeting regulatory, tax, and KYC obligations</w:t>
      </w:r>
    </w:p>
    <w:p w14:paraId="00000042">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Responding to lawful requests from authorities</w:t>
      </w:r>
    </w:p>
    <w:p w14:paraId="0000004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iv. Security and Incident Investigation</w:t>
      </w:r>
    </w:p>
    <w:p w14:paraId="0000004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Identifying and resolving system breaches or misuse</w:t>
      </w:r>
    </w:p>
    <w:p w14:paraId="000000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 Dispute Resolution</w:t>
      </w:r>
    </w:p>
    <w:p w14:paraId="00000046">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Handling complaints, technical issues, or transaction disputes</w:t>
      </w:r>
    </w:p>
    <w:p w14:paraId="0000004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 Processing Based on Consent</w:t>
      </w:r>
    </w:p>
    <w:p w14:paraId="00000048">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Marketing and promotional communication</w:t>
      </w:r>
    </w:p>
    <w:p w14:paraId="00000049">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Location-based services</w:t>
      </w:r>
    </w:p>
    <w:p w14:paraId="0000004A">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Cookie-based personalization</w:t>
      </w:r>
    </w:p>
    <w:p w14:paraId="0000004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withdraw your consent at any time.</w:t>
      </w:r>
    </w:p>
    <w:p w14:paraId="0000004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p>
    <w:p w14:paraId="0000004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p>
    <w:p w14:paraId="0000004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p>
    <w:p w14:paraId="0000004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5. How We Share Your Personal Data</w:t>
      </w:r>
    </w:p>
    <w:p w14:paraId="0000005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Your personal data may be shared with third parties under the following circumstances:</w:t>
      </w:r>
    </w:p>
    <w:p w14:paraId="0000005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 Affiliate Companies</w:t>
      </w:r>
    </w:p>
    <w:p w14:paraId="0000005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To support service delivery, risk management, compliance, or shared technology solutions.</w:t>
      </w:r>
    </w:p>
    <w:p w14:paraId="0000005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 Third-Party Service Providers</w:t>
      </w:r>
    </w:p>
    <w:p w14:paraId="0000005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Including providers responsible for:</w:t>
      </w:r>
    </w:p>
    <w:p w14:paraId="0000005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Identity verification</w:t>
      </w:r>
    </w:p>
    <w:p w14:paraId="00000056">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Payment processing</w:t>
      </w:r>
    </w:p>
    <w:p w14:paraId="00000057">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Customer support</w:t>
      </w:r>
    </w:p>
    <w:p w14:paraId="00000058">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Advertising and analytics</w:t>
      </w:r>
    </w:p>
    <w:p w14:paraId="0000005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All third-party providers are required to maintain strict confidentiality and comply with data protection regulations.</w:t>
      </w:r>
    </w:p>
    <w:p w14:paraId="0000005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iii. Unaffiliated Third-Party Partners (With Your Consent)</w:t>
      </w:r>
    </w:p>
    <w:p w14:paraId="0000005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Where their services are embedded or integrated into our Platform.</w:t>
      </w:r>
    </w:p>
    <w:p w14:paraId="000000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iv. Financial Institutions</w:t>
      </w:r>
    </w:p>
    <w:p w14:paraId="0000005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For transaction processing, account updates, and partner services.</w:t>
      </w:r>
    </w:p>
    <w:p w14:paraId="0000005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 Transaction Participants</w:t>
      </w:r>
    </w:p>
    <w:p w14:paraId="0000005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For transactions involving other users, where data is necessary to complete or verify the transaction.</w:t>
      </w:r>
    </w:p>
    <w:p w14:paraId="0000006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 Legal and Regulatory Disclosure</w:t>
      </w:r>
    </w:p>
    <w:p w14:paraId="0000006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may disclose information when required to:</w:t>
      </w:r>
    </w:p>
    <w:p w14:paraId="00000062">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Comply with a court order or legal request</w:t>
      </w:r>
    </w:p>
    <w:p w14:paraId="00000063">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Prevent financial loss or physical harm</w:t>
      </w:r>
    </w:p>
    <w:p w14:paraId="0000006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Investigate fraud, violations of law, or platform misuse</w:t>
      </w:r>
    </w:p>
    <w:p w14:paraId="0000006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Assist credit agencies for credit referencing, fraud checks, and compliance</w:t>
      </w:r>
    </w:p>
    <w:p w14:paraId="0000006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vii. Corporate Transactions</w:t>
      </w:r>
    </w:p>
    <w:p w14:paraId="0000006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Information may be shared in connection with mergers, acquisitions, or sale of business assets.</w:t>
      </w:r>
    </w:p>
    <w:p w14:paraId="0000006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viii. With Your Consent</w:t>
      </w:r>
    </w:p>
    <w:p w14:paraId="0000006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For any additional purpose not listed above.</w:t>
      </w:r>
    </w:p>
    <w:p w14:paraId="0000006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6. Cookies</w:t>
      </w:r>
    </w:p>
    <w:p w14:paraId="0000006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Our website uses encrypted </w:t>
      </w:r>
      <w:r>
        <w:rPr>
          <w:rFonts w:ascii="Calibri" w:hAnsi="Calibri" w:eastAsia="Calibri" w:cs="Calibri"/>
          <w:b/>
          <w:bCs/>
          <w:i w:val="0"/>
          <w:iCs w:val="0"/>
          <w:smallCaps w:val="0"/>
          <w:strike w:val="0"/>
          <w:color w:val="000000"/>
          <w:sz w:val="20"/>
          <w:szCs w:val="20"/>
          <w:u w:val="none"/>
          <w:shd w:val="clear" w:fill="auto"/>
          <w:vertAlign w:val="baseline"/>
          <w:rtl w:val="0"/>
        </w:rPr>
        <w:t>session cookies</w:t>
      </w: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 to enhance user experience, maintain login sessions, and improve performance.</w:t>
      </w:r>
    </w:p>
    <w:p w14:paraId="0000006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Session cookies:</w:t>
      </w:r>
    </w:p>
    <w:p w14:paraId="0000006D">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Do not store personal data</w:t>
      </w:r>
    </w:p>
    <w:p w14:paraId="0000006E">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Expire when you log out or close the mobile app</w:t>
      </w:r>
    </w:p>
    <w:p w14:paraId="0000006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decline cookies; however, some features of our website may not function properly as a result.</w:t>
      </w:r>
    </w:p>
    <w:p w14:paraId="0000007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7. Your Data Rights</w:t>
      </w:r>
    </w:p>
    <w:p w14:paraId="0000007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In line with the NDPA 2023, you have the following rights:</w:t>
      </w:r>
    </w:p>
    <w:p w14:paraId="0000007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 Right of Access</w:t>
      </w:r>
    </w:p>
    <w:p w14:paraId="0000007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request confirmation of whether we hold your personal data and obtain a copy, including details on how it is used, stored, and shared.</w:t>
      </w:r>
    </w:p>
    <w:p w14:paraId="0000007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 Right to Rectification</w:t>
      </w:r>
    </w:p>
    <w:p w14:paraId="0000007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request correction of inaccurate or incomplete data.</w:t>
      </w:r>
    </w:p>
    <w:p w14:paraId="0000007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iii. Right to Erasure (“Right to be Forgotten”)</w:t>
      </w:r>
    </w:p>
    <w:p w14:paraId="0000007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request the deletion of your data where:</w:t>
      </w:r>
    </w:p>
    <w:p w14:paraId="00000078">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It is no longer necessary for the purpose collected</w:t>
      </w:r>
    </w:p>
    <w:p w14:paraId="00000079">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withdraw consent</w:t>
      </w:r>
    </w:p>
    <w:p w14:paraId="0000007A">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Processing is unlawful</w:t>
      </w:r>
    </w:p>
    <w:p w14:paraId="0000007B">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object and no overriding legal basis exists</w:t>
      </w:r>
    </w:p>
    <w:p w14:paraId="0000007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Deletion may be restricted where data is required for legal compliance or to defend legal claims.</w:t>
      </w:r>
    </w:p>
    <w:p w14:paraId="0000007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iv. Right to Object</w:t>
      </w:r>
    </w:p>
    <w:p w14:paraId="0000007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object to processing based on legitimate interests or for direct marketing.</w:t>
      </w:r>
    </w:p>
    <w:p w14:paraId="0000007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 Right to Restrict Processing</w:t>
      </w:r>
    </w:p>
    <w:p w14:paraId="0000008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request restricted use of your data while its accuracy, lawfulness, or necessity is being reviewed.</w:t>
      </w:r>
    </w:p>
    <w:p w14:paraId="0000008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 Right to Data Portability</w:t>
      </w:r>
    </w:p>
    <w:p w14:paraId="0000008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request your data in a structured, machine-readable format or request that we transfer it to another organization (where feasible).</w:t>
      </w:r>
    </w:p>
    <w:p w14:paraId="0000008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vii. Right to Object to Automated Decision-Making</w:t>
      </w:r>
    </w:p>
    <w:p w14:paraId="0000008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You may request human intervention where decisions affecting you are made solely using automated processes—except where:</w:t>
      </w:r>
    </w:p>
    <w:p w14:paraId="0000008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Necessary for contract performance</w:t>
      </w:r>
    </w:p>
    <w:p w14:paraId="00000086">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Permitted by law</w:t>
      </w:r>
    </w:p>
    <w:p w14:paraId="00000087">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Based on your explicit consent</w:t>
      </w:r>
    </w:p>
    <w:p w14:paraId="0000008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8. How We Safeguard Your Personal Data</w:t>
      </w:r>
    </w:p>
    <w:p w14:paraId="0000008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employ industry-standard technical and organizational security measures including:</w:t>
      </w:r>
    </w:p>
    <w:p w14:paraId="0000008A">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Data encryption</w:t>
      </w:r>
    </w:p>
    <w:p w14:paraId="0000008B">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Firewalls and access controls</w:t>
      </w:r>
    </w:p>
    <w:p w14:paraId="0000008C">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Secure servers and network monitoring</w:t>
      </w:r>
    </w:p>
    <w:p w14:paraId="0000008D">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CCTV surveillance within premises</w:t>
      </w:r>
    </w:p>
    <w:p w14:paraId="0000008E">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Restricted internal access to personal data</w:t>
      </w:r>
    </w:p>
    <w:p w14:paraId="0000008F">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Staff confidentiality obligations and training</w:t>
      </w:r>
    </w:p>
    <w:p w14:paraId="0000009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In the event of a </w:t>
      </w:r>
      <w:r>
        <w:rPr>
          <w:rFonts w:ascii="Calibri" w:hAnsi="Calibri" w:eastAsia="Calibri" w:cs="Calibri"/>
          <w:b/>
          <w:bCs/>
          <w:i w:val="0"/>
          <w:iCs w:val="0"/>
          <w:smallCaps w:val="0"/>
          <w:strike w:val="0"/>
          <w:color w:val="000000"/>
          <w:sz w:val="20"/>
          <w:szCs w:val="20"/>
          <w:u w:val="none"/>
          <w:shd w:val="clear" w:fill="auto"/>
          <w:vertAlign w:val="baseline"/>
          <w:rtl w:val="0"/>
        </w:rPr>
        <w:t>data breach</w:t>
      </w:r>
      <w:r>
        <w:rPr>
          <w:rFonts w:ascii="Calibri" w:hAnsi="Calibri" w:eastAsia="Calibri" w:cs="Calibri"/>
          <w:b w:val="0"/>
          <w:bCs w:val="0"/>
          <w:i w:val="0"/>
          <w:iCs w:val="0"/>
          <w:smallCaps w:val="0"/>
          <w:strike w:val="0"/>
          <w:color w:val="000000"/>
          <w:sz w:val="20"/>
          <w:szCs w:val="20"/>
          <w:u w:val="none"/>
          <w:shd w:val="clear" w:fill="auto"/>
          <w:vertAlign w:val="baseline"/>
          <w:rtl w:val="0"/>
        </w:rPr>
        <w:t>, we will notify you and the appropriate authorities in accordance with the NDPA 2023.</w:t>
      </w:r>
    </w:p>
    <w:p w14:paraId="0000009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9. Remedies for Breach &amp; Resolution Timeline</w:t>
      </w:r>
    </w:p>
    <w:p w14:paraId="0000009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If a breach of this Policy occurs:</w:t>
      </w:r>
    </w:p>
    <w:p w14:paraId="00000093">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Our Data Protection Office will investigate and resolve the issue within </w:t>
      </w:r>
      <w:r>
        <w:rPr>
          <w:rFonts w:ascii="Calibri" w:hAnsi="Calibri" w:eastAsia="Calibri" w:cs="Calibri"/>
          <w:b/>
          <w:bCs/>
          <w:i w:val="0"/>
          <w:iCs w:val="0"/>
          <w:smallCaps w:val="0"/>
          <w:strike w:val="0"/>
          <w:color w:val="000000"/>
          <w:sz w:val="20"/>
          <w:szCs w:val="20"/>
          <w:u w:val="none"/>
          <w:shd w:val="clear" w:fill="auto"/>
          <w:vertAlign w:val="baseline"/>
          <w:rtl w:val="0"/>
        </w:rPr>
        <w:t>seven (7) days</w:t>
      </w:r>
      <w:r>
        <w:rPr>
          <w:rFonts w:ascii="Calibri" w:hAnsi="Calibri" w:eastAsia="Calibri" w:cs="Calibri"/>
          <w:b w:val="0"/>
          <w:bCs w:val="0"/>
          <w:i w:val="0"/>
          <w:iCs w:val="0"/>
          <w:smallCaps w:val="0"/>
          <w:strike w:val="0"/>
          <w:color w:val="000000"/>
          <w:sz w:val="20"/>
          <w:szCs w:val="20"/>
          <w:u w:val="none"/>
          <w:shd w:val="clear" w:fill="auto"/>
          <w:vertAlign w:val="baseline"/>
          <w:rtl w:val="0"/>
        </w:rPr>
        <w:t>.</w:t>
      </w:r>
    </w:p>
    <w:p w14:paraId="0000009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If your personal data has been improperly disclosed, we will take corrective steps and send you a confirmation of resolution within </w:t>
      </w:r>
      <w:r>
        <w:rPr>
          <w:rFonts w:ascii="Calibri" w:hAnsi="Calibri" w:eastAsia="Calibri" w:cs="Calibri"/>
          <w:b/>
          <w:bCs/>
          <w:i w:val="0"/>
          <w:iCs w:val="0"/>
          <w:smallCaps w:val="0"/>
          <w:strike w:val="0"/>
          <w:color w:val="000000"/>
          <w:sz w:val="20"/>
          <w:szCs w:val="20"/>
          <w:u w:val="none"/>
          <w:shd w:val="clear" w:fill="auto"/>
          <w:vertAlign w:val="baseline"/>
          <w:rtl w:val="0"/>
        </w:rPr>
        <w:t>48 hours</w:t>
      </w:r>
      <w:r>
        <w:rPr>
          <w:rFonts w:ascii="Calibri" w:hAnsi="Calibri" w:eastAsia="Calibri" w:cs="Calibri"/>
          <w:b w:val="0"/>
          <w:bCs w:val="0"/>
          <w:i w:val="0"/>
          <w:iCs w:val="0"/>
          <w:smallCaps w:val="0"/>
          <w:strike w:val="0"/>
          <w:color w:val="000000"/>
          <w:sz w:val="20"/>
          <w:szCs w:val="20"/>
          <w:u w:val="none"/>
          <w:shd w:val="clear" w:fill="auto"/>
          <w:vertAlign w:val="baseline"/>
          <w:rtl w:val="0"/>
        </w:rPr>
        <w:t>.</w:t>
      </w:r>
    </w:p>
    <w:p w14:paraId="0000009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10. Governing Law</w:t>
      </w:r>
    </w:p>
    <w:p w14:paraId="0000009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This Privacy Policy is governed by the </w:t>
      </w:r>
      <w:r>
        <w:rPr>
          <w:rFonts w:ascii="Calibri" w:hAnsi="Calibri" w:eastAsia="Calibri" w:cs="Calibri"/>
          <w:b/>
          <w:bCs/>
          <w:i w:val="0"/>
          <w:iCs w:val="0"/>
          <w:smallCaps w:val="0"/>
          <w:strike w:val="0"/>
          <w:color w:val="000000"/>
          <w:sz w:val="20"/>
          <w:szCs w:val="20"/>
          <w:u w:val="none"/>
          <w:shd w:val="clear" w:fill="auto"/>
          <w:vertAlign w:val="baseline"/>
          <w:rtl w:val="0"/>
        </w:rPr>
        <w:t>Nigeria Data Protection Act (NDPA) 2023</w:t>
      </w:r>
      <w:r>
        <w:rPr>
          <w:rFonts w:ascii="Calibri" w:hAnsi="Calibri" w:eastAsia="Calibri" w:cs="Calibri"/>
          <w:b w:val="0"/>
          <w:bCs w:val="0"/>
          <w:i w:val="0"/>
          <w:iCs w:val="0"/>
          <w:smallCaps w:val="0"/>
          <w:strike w:val="0"/>
          <w:color w:val="000000"/>
          <w:sz w:val="20"/>
          <w:szCs w:val="20"/>
          <w:u w:val="none"/>
          <w:shd w:val="clear" w:fill="auto"/>
          <w:vertAlign w:val="baseline"/>
          <w:rtl w:val="0"/>
        </w:rPr>
        <w:t xml:space="preserve"> and other applicable Nigerian laws and regulations.</w:t>
      </w:r>
    </w:p>
    <w:p w14:paraId="0000009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11. Updates to This Policy</w:t>
      </w:r>
    </w:p>
    <w:p w14:paraId="0000009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may update this Policy periodically to reflect changes in our practices, legal requirements, or service offerings.</w:t>
      </w:r>
    </w:p>
    <w:p w14:paraId="0000009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Updates will be communicated via our website, social media channels, or—where significant—via email or direct notification.</w:t>
      </w:r>
    </w:p>
    <w:p w14:paraId="0000009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We conduct a minimum annual review of this Policy.</w:t>
      </w:r>
    </w:p>
    <w:p w14:paraId="0000009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p>
    <w:p w14:paraId="0000009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p>
    <w:p w14:paraId="0000009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12. International Data Transfers</w:t>
      </w:r>
    </w:p>
    <w:p w14:paraId="0000009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Generally, personal data is stored and processed within Nigeria.</w:t>
      </w:r>
    </w:p>
    <w:p w14:paraId="0000009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However, with your explicit consent, data may be transferred to jurisdictions outside Nigeria where required for:</w:t>
      </w:r>
    </w:p>
    <w:p w14:paraId="000000A0">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28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Cloud services</w:t>
      </w:r>
    </w:p>
    <w:p w14:paraId="000000A1">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Transaction fulfilment</w:t>
      </w:r>
    </w:p>
    <w:p w14:paraId="000000A2">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80" w:line="276" w:lineRule="auto"/>
        <w:ind w:left="420" w:right="0" w:hanging="42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Partner integrations</w:t>
      </w:r>
    </w:p>
    <w:p w14:paraId="000000A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Any international transfer will comply with NDPA adequacy requirements and include strong security safeguards.</w:t>
      </w:r>
    </w:p>
    <w:p w14:paraId="000000A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13. Contact Us</w:t>
      </w:r>
    </w:p>
    <w:p w14:paraId="000000A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80" w:after="280" w:line="276"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For questions, concerns, or data rights requests, please contact:</w:t>
      </w:r>
    </w:p>
    <w:p w14:paraId="000000A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0" w:right="0" w:firstLine="0"/>
        <w:jc w:val="left"/>
        <w:rPr>
          <w:rFonts w:ascii="Calibri" w:hAnsi="Calibri" w:eastAsia="Calibri" w:cs="Calibri"/>
          <w:b/>
          <w:bCs/>
          <w:i w:val="0"/>
          <w:iCs w:val="0"/>
          <w:smallCaps w:val="0"/>
          <w:strike w:val="0"/>
          <w:color w:val="000000"/>
          <w:sz w:val="20"/>
          <w:szCs w:val="20"/>
          <w:u w:val="none"/>
          <w:shd w:val="clear" w:fill="auto"/>
          <w:vertAlign w:val="baseline"/>
        </w:rPr>
      </w:pPr>
      <w:r>
        <w:rPr>
          <w:rFonts w:ascii="Calibri" w:hAnsi="Calibri" w:eastAsia="Calibri" w:cs="Calibri"/>
          <w:b/>
          <w:bCs/>
          <w:i w:val="0"/>
          <w:iCs w:val="0"/>
          <w:smallCaps w:val="0"/>
          <w:strike w:val="0"/>
          <w:color w:val="000000"/>
          <w:sz w:val="20"/>
          <w:szCs w:val="20"/>
          <w:u w:val="none"/>
          <w:shd w:val="clear" w:fill="auto"/>
          <w:vertAlign w:val="baseline"/>
          <w:rtl w:val="0"/>
        </w:rPr>
        <w:t>Bridgepoint Finance Limited</w:t>
      </w:r>
    </w:p>
    <w:p w14:paraId="000000A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126 Ojodu Abioun Road, Ojodu Berger, Lagos, Nigeria</w:t>
      </w:r>
    </w:p>
    <w:p w14:paraId="000000A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0" w:right="0" w:firstLine="0"/>
        <w:jc w:val="left"/>
        <w:rPr>
          <w:rFonts w:ascii="Calibri" w:hAnsi="Calibri" w:eastAsia="Calibri" w:cs="Calibri"/>
          <w:b w:val="0"/>
          <w:bCs w:val="0"/>
          <w:i w:val="0"/>
          <w:iCs w:val="0"/>
          <w:smallCaps w:val="0"/>
          <w:strike w:val="0"/>
          <w:color w:val="000000"/>
          <w:sz w:val="20"/>
          <w:szCs w:val="20"/>
          <w:u w:val="none"/>
          <w:shd w:val="clear" w:fill="auto"/>
          <w:vertAlign w:val="baseline"/>
        </w:rPr>
      </w:pPr>
      <w:r>
        <w:rPr>
          <w:rFonts w:ascii="Calibri" w:hAnsi="Calibri" w:eastAsia="Calibri" w:cs="Calibri"/>
          <w:b w:val="0"/>
          <w:bCs w:val="0"/>
          <w:i w:val="0"/>
          <w:iCs w:val="0"/>
          <w:smallCaps w:val="0"/>
          <w:strike w:val="0"/>
          <w:color w:val="000000"/>
          <w:sz w:val="20"/>
          <w:szCs w:val="20"/>
          <w:u w:val="none"/>
          <w:shd w:val="clear" w:fill="auto"/>
          <w:vertAlign w:val="baseline"/>
          <w:rtl w:val="0"/>
        </w:rPr>
        <w:t>Email: bridgepointfinancelimited@gmail.com</w:t>
      </w:r>
    </w:p>
    <w:p w14:paraId="000000A9">
      <w:pPr>
        <w:rPr>
          <w:rFonts w:ascii="Calibri" w:hAnsi="Calibri" w:eastAsia="Calibri" w:cs="Calibri"/>
          <w:color w:val="000000"/>
          <w:sz w:val="20"/>
          <w:szCs w:val="20"/>
        </w:rPr>
      </w:pPr>
    </w:p>
    <w:p w14:paraId="000000AA">
      <w:pPr>
        <w:rPr>
          <w:rFonts w:ascii="Calibri" w:hAnsi="Calibri" w:eastAsia="Calibri" w:cs="Calibri"/>
          <w:color w:val="000000"/>
          <w:sz w:val="20"/>
          <w:szCs w:val="20"/>
        </w:rPr>
      </w:pPr>
    </w:p>
    <w:p w14:paraId="000000AB">
      <w:pPr>
        <w:rPr>
          <w:rFonts w:ascii="Calibri" w:hAnsi="Calibri" w:eastAsia="Calibri" w:cs="Calibri"/>
          <w:color w:val="000000"/>
          <w:sz w:val="20"/>
          <w:szCs w:val="20"/>
        </w:rPr>
      </w:pPr>
    </w:p>
    <w:p w14:paraId="000000AC">
      <w:pPr>
        <w:rPr>
          <w:rFonts w:ascii="Calibri" w:hAnsi="Calibri" w:eastAsia="Calibri" w:cs="Calibri"/>
          <w:color w:val="000000"/>
          <w:sz w:val="20"/>
          <w:szCs w:val="20"/>
        </w:rPr>
      </w:pPr>
    </w:p>
    <w:p w14:paraId="000000AD">
      <w:pPr>
        <w:rPr>
          <w:rFonts w:ascii="Calibri" w:hAnsi="Calibri" w:eastAsia="Calibri" w:cs="Calibri"/>
          <w:color w:val="000000"/>
          <w:sz w:val="20"/>
          <w:szCs w:val="20"/>
        </w:rPr>
      </w:pPr>
    </w:p>
    <w:p w14:paraId="000000AE">
      <w:pPr>
        <w:rPr>
          <w:rFonts w:ascii="Calibri" w:hAnsi="Calibri" w:eastAsia="Calibri" w:cs="Calibri"/>
          <w:color w:val="000000"/>
          <w:sz w:val="20"/>
          <w:szCs w:val="20"/>
        </w:rPr>
      </w:pPr>
    </w:p>
    <w:p w14:paraId="000000AF">
      <w:pPr>
        <w:rPr>
          <w:rFonts w:ascii="Calibri" w:hAnsi="Calibri" w:eastAsia="Calibri" w:cs="Calibri"/>
          <w:color w:val="000000"/>
          <w:sz w:val="20"/>
          <w:szCs w:val="20"/>
        </w:rPr>
      </w:pPr>
    </w:p>
    <w:p w14:paraId="000000B0">
      <w:pPr>
        <w:rPr>
          <w:rFonts w:ascii="Calibri" w:hAnsi="Calibri" w:eastAsia="Calibri" w:cs="Calibri"/>
          <w:color w:val="000000"/>
          <w:sz w:val="20"/>
          <w:szCs w:val="20"/>
        </w:rPr>
      </w:pPr>
    </w:p>
    <w:p w14:paraId="000000B1">
      <w:pPr>
        <w:rPr>
          <w:rFonts w:ascii="Calibri" w:hAnsi="Calibri" w:eastAsia="Calibri" w:cs="Calibri"/>
          <w:color w:val="000000"/>
          <w:sz w:val="20"/>
          <w:szCs w:val="20"/>
        </w:rPr>
      </w:pPr>
    </w:p>
    <w:p w14:paraId="000000B2">
      <w:pPr>
        <w:rPr>
          <w:rFonts w:ascii="Calibri" w:hAnsi="Calibri" w:eastAsia="Calibri" w:cs="Calibri"/>
          <w:color w:val="000000"/>
          <w:sz w:val="20"/>
          <w:szCs w:val="20"/>
        </w:rPr>
      </w:pPr>
    </w:p>
    <w:p w14:paraId="000000B3">
      <w:pPr>
        <w:rPr>
          <w:rFonts w:ascii="Calibri" w:hAnsi="Calibri" w:eastAsia="Calibri" w:cs="Calibri"/>
          <w:color w:val="000000"/>
          <w:sz w:val="20"/>
          <w:szCs w:val="20"/>
        </w:rPr>
      </w:pPr>
    </w:p>
    <w:p w14:paraId="000000B4">
      <w:pPr>
        <w:rPr>
          <w:rFonts w:ascii="Calibri" w:hAnsi="Calibri" w:eastAsia="Calibri" w:cs="Calibri"/>
          <w:color w:val="000000"/>
          <w:sz w:val="20"/>
          <w:szCs w:val="20"/>
        </w:rPr>
      </w:pPr>
    </w:p>
    <w:p w14:paraId="000000B5">
      <w:pPr>
        <w:rPr>
          <w:rFonts w:ascii="Calibri" w:hAnsi="Calibri" w:eastAsia="Calibri" w:cs="Calibri"/>
          <w:color w:val="000000"/>
          <w:sz w:val="20"/>
          <w:szCs w:val="20"/>
        </w:rPr>
      </w:pPr>
    </w:p>
    <w:p w14:paraId="000000B6">
      <w:pPr>
        <w:rPr>
          <w:rFonts w:ascii="Calibri" w:hAnsi="Calibri" w:eastAsia="Calibri" w:cs="Calibri"/>
          <w:color w:val="000000"/>
          <w:sz w:val="20"/>
          <w:szCs w:val="20"/>
        </w:rPr>
      </w:pPr>
    </w:p>
    <w:p w14:paraId="000000B7">
      <w:pPr>
        <w:rPr>
          <w:rFonts w:ascii="Calibri" w:hAnsi="Calibri" w:eastAsia="Calibri" w:cs="Calibri"/>
          <w:color w:val="000000"/>
          <w:sz w:val="20"/>
          <w:szCs w:val="20"/>
        </w:rPr>
      </w:pPr>
    </w:p>
    <w:p w14:paraId="000000B8">
      <w:pPr>
        <w:rPr>
          <w:rFonts w:ascii="Calibri" w:hAnsi="Calibri" w:eastAsia="Calibri" w:cs="Calibri"/>
          <w:color w:val="000000"/>
          <w:sz w:val="20"/>
          <w:szCs w:val="20"/>
        </w:rPr>
      </w:pPr>
    </w:p>
    <w:p w14:paraId="000000B9">
      <w:pPr>
        <w:rPr>
          <w:rFonts w:ascii="Calibri" w:hAnsi="Calibri" w:eastAsia="Calibri" w:cs="Calibri"/>
          <w:color w:val="000000"/>
          <w:sz w:val="20"/>
          <w:szCs w:val="20"/>
        </w:rPr>
      </w:pPr>
    </w:p>
    <w:p w14:paraId="000000BA">
      <w:pPr>
        <w:rPr>
          <w:rFonts w:ascii="Calibri" w:hAnsi="Calibri" w:eastAsia="Calibri" w:cs="Calibri"/>
          <w:color w:val="000000"/>
          <w:sz w:val="20"/>
          <w:szCs w:val="20"/>
        </w:rPr>
      </w:pPr>
    </w:p>
    <w:p w14:paraId="000000BB">
      <w:pPr>
        <w:rPr>
          <w:rFonts w:ascii="Calibri" w:hAnsi="Calibri" w:eastAsia="Calibri" w:cs="Calibri"/>
          <w:color w:val="000000"/>
          <w:sz w:val="20"/>
          <w:szCs w:val="20"/>
        </w:rPr>
      </w:pPr>
    </w:p>
    <w:p w14:paraId="000000BC">
      <w:pPr>
        <w:rPr>
          <w:rFonts w:ascii="Calibri" w:hAnsi="Calibri" w:eastAsia="Calibri" w:cs="Calibri"/>
          <w:color w:val="000000"/>
          <w:sz w:val="20"/>
          <w:szCs w:val="20"/>
        </w:rPr>
      </w:pPr>
    </w:p>
    <w:p w14:paraId="000000BD">
      <w:pPr>
        <w:rPr>
          <w:rFonts w:ascii="Calibri" w:hAnsi="Calibri" w:eastAsia="Calibri" w:cs="Calibri"/>
          <w:color w:val="000000"/>
          <w:sz w:val="20"/>
          <w:szCs w:val="20"/>
        </w:rPr>
      </w:pPr>
    </w:p>
    <w:p w14:paraId="000000BE">
      <w:pPr>
        <w:rPr>
          <w:rFonts w:ascii="Calibri" w:hAnsi="Calibri" w:eastAsia="Calibri" w:cs="Calibri"/>
          <w:color w:val="000000"/>
          <w:sz w:val="20"/>
          <w:szCs w:val="20"/>
        </w:rPr>
      </w:pPr>
    </w:p>
    <w:p w14:paraId="000000BF">
      <w:pPr>
        <w:rPr>
          <w:rFonts w:ascii="Calibri" w:hAnsi="Calibri" w:eastAsia="Calibri" w:cs="Calibri"/>
          <w:color w:val="000000"/>
          <w:sz w:val="20"/>
          <w:szCs w:val="20"/>
        </w:rPr>
      </w:pPr>
    </w:p>
    <w:p w14:paraId="000000C0">
      <w:pPr>
        <w:rPr>
          <w:rFonts w:ascii="Calibri" w:hAnsi="Calibri" w:eastAsia="Calibri" w:cs="Calibri"/>
          <w:color w:val="000000"/>
          <w:sz w:val="20"/>
          <w:szCs w:val="20"/>
        </w:rPr>
      </w:pPr>
    </w:p>
    <w:p w14:paraId="000000C1">
      <w:pPr>
        <w:rPr>
          <w:rFonts w:ascii="Calibri" w:hAnsi="Calibri" w:eastAsia="Calibri" w:cs="Calibri"/>
          <w:color w:val="000000"/>
          <w:sz w:val="20"/>
          <w:szCs w:val="20"/>
        </w:rPr>
      </w:pPr>
    </w:p>
    <w:sectPr>
      <w:headerReference r:id="rId5" w:type="default"/>
      <w:pgSz w:w="12240" w:h="15840"/>
      <w:pgMar w:top="677" w:right="994" w:bottom="1440" w:left="108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7F73C3B7-E561-4D0E-A68E-5300ABAD1EAC}"/>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C2487648-E970-4869-A22C-7D5E3707752E}"/>
  </w:font>
  <w:font w:name="Wingdings">
    <w:panose1 w:val="05000000000000000000"/>
    <w:charset w:val="02"/>
    <w:family w:val="auto"/>
    <w:pitch w:val="default"/>
    <w:sig w:usb0="00000000" w:usb1="00000000" w:usb2="00000000" w:usb3="00000000" w:csb0="80000000" w:csb1="00000000"/>
    <w:embedRegular r:id="rId3" w:fontKey="{EFC358D8-7F7E-4390-9791-21C5666DBC38}"/>
  </w:font>
  <w:font w:name="Calibri">
    <w:panose1 w:val="020F0502020204030204"/>
    <w:charset w:val="00"/>
    <w:family w:val="swiss"/>
    <w:pitch w:val="default"/>
    <w:sig w:usb0="E4002EFF" w:usb1="C200247B" w:usb2="00000009" w:usb3="00000000" w:csb0="200001FF" w:csb1="00000000"/>
    <w:embedRegular r:id="rId4" w:fontKey="{5E6F1571-D404-42F0-B10E-51A466AC88FB}"/>
  </w:font>
  <w:font w:name="等线">
    <w:altName w:val="Microsoft YaHei"/>
    <w:panose1 w:val="00000000000000000000"/>
    <w:charset w:val="86"/>
    <w:family w:val="auto"/>
    <w:pitch w:val="default"/>
    <w:sig w:usb0="00000000" w:usb1="00000000" w:usb2="00000000" w:usb3="00000000" w:csb0="00000000" w:csb1="00000000"/>
  </w:font>
  <w:font w:name="Consolas">
    <w:panose1 w:val="020B0609020204030204"/>
    <w:charset w:val="00"/>
    <w:family w:val="auto"/>
    <w:pitch w:val="default"/>
    <w:sig w:usb0="E00006FF" w:usb1="0000FCFF" w:usb2="00000001" w:usb3="00000000" w:csb0="6000019F" w:csb1="DFD70000"/>
    <w:embedRegular r:id="rId5" w:fontKey="{D5896CFE-85E8-49D3-969D-9A4C2B43BD3C}"/>
  </w:font>
  <w:font w:name="Noto Sans Symbol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6" w:fontKey="{987B8E54-519E-4609-B540-59F9E53E3E6F}"/>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C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72B73E0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en"/>
    </w:rPr>
  </w:style>
  <w:style w:type="paragraph" w:styleId="2">
    <w:name w:val="heading 1"/>
    <w:basedOn w:val="1"/>
    <w:next w:val="1"/>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Normal (Web)"/>
    <w:uiPriority w:val="0"/>
    <w:pPr>
      <w:spacing w:line="276" w:lineRule="auto"/>
    </w:pPr>
    <w:rPr>
      <w:rFonts w:ascii="Arial" w:hAnsi="Arial" w:eastAsia="Arial" w:cs="Arial"/>
      <w:sz w:val="24"/>
      <w:szCs w:val="24"/>
      <w:lang w:val="en"/>
    </w:rPr>
  </w:style>
  <w:style w:type="paragraph" w:styleId="11">
    <w:name w:val="Subtitle"/>
    <w:basedOn w:val="1"/>
    <w:next w:val="1"/>
    <w:uiPriority w:val="0"/>
    <w:pPr>
      <w:keepNext/>
      <w:keepLines/>
      <w:pageBreakBefore w:val="0"/>
      <w:spacing w:before="0" w:after="320"/>
    </w:pPr>
    <w:rPr>
      <w:rFonts w:ascii="Arial" w:hAnsi="Arial" w:eastAsia="Arial" w:cs="Arial"/>
      <w:color w:val="666666"/>
      <w:sz w:val="30"/>
      <w:szCs w:val="30"/>
    </w:rPr>
  </w:style>
  <w:style w:type="paragraph" w:styleId="12">
    <w:name w:val="Title"/>
    <w:basedOn w:val="1"/>
    <w:next w:val="1"/>
    <w:uiPriority w:val="0"/>
    <w:pPr>
      <w:keepNext/>
      <w:keepLines/>
      <w:pageBreakBefore w:val="0"/>
      <w:spacing w:before="0" w:after="60"/>
    </w:pPr>
    <w:rPr>
      <w:sz w:val="52"/>
      <w:szCs w:val="52"/>
    </w:rPr>
  </w:style>
  <w:style w:type="table" w:customStyle="1" w:styleId="13">
    <w:name w:val="TableNormal"/>
    <w:qFormat/>
    <w:uiPriority w:val="0"/>
    <w:tblPr>
      <w:tblCellMar>
        <w:top w:w="100" w:type="dxa"/>
        <w:left w:w="100" w:type="dxa"/>
        <w:bottom w:w="100" w:type="dxa"/>
        <w:right w:w="100" w:type="dxa"/>
      </w:tblCellMar>
    </w:tblPr>
  </w:style>
  <w:style w:type="character" w:customStyle="1" w:styleId="14">
    <w:name w:val="cf01"/>
    <w:uiPriority w:val="0"/>
    <w:rPr>
      <w:rFonts w:ascii="Consolas" w:hAnsi="Consolas" w:eastAsia="Consolas" w:cs="Consolas"/>
      <w:b/>
      <w:bCs/>
      <w:color w:val="FFFFFF"/>
      <w:sz w:val="22"/>
      <w:szCs w:val="22"/>
    </w:rPr>
  </w:style>
  <w:style w:type="character" w:customStyle="1" w:styleId="15">
    <w:name w:val="cf11"/>
    <w:uiPriority w:val="0"/>
    <w:rPr>
      <w:rFonts w:hint="default" w:ascii="Consolas" w:hAnsi="Consolas" w:eastAsia="Consolas" w:cs="Consolas"/>
      <w:color w:val="FFFFFF"/>
      <w:sz w:val="22"/>
      <w:szCs w:val="22"/>
    </w:rPr>
  </w:style>
  <w:style w:type="character" w:customStyle="1" w:styleId="16">
    <w:name w:val="cf21"/>
    <w:uiPriority w:val="0"/>
    <w:rPr>
      <w:rFonts w:hint="default" w:ascii="Consolas" w:hAnsi="Consolas" w:eastAsia="Consolas" w:cs="Consolas"/>
      <w:color w:val="FFFFFF"/>
      <w:sz w:val="22"/>
      <w:szCs w:val="22"/>
    </w:rPr>
  </w:style>
  <w:style w:type="character" w:customStyle="1" w:styleId="17">
    <w:name w:val="cf31"/>
    <w:uiPriority w:val="0"/>
    <w:rPr>
      <w:rFonts w:hint="default" w:ascii="Consolas" w:hAnsi="Consolas" w:eastAsia="Consolas" w:cs="Consolas"/>
      <w:b/>
      <w:bCs/>
      <w:color w:val="FFFFFF"/>
      <w:sz w:val="22"/>
      <w:szCs w:val="22"/>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numbering" Target="numbering.xml"/><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PZD/648kCY+DxjwKQA/T+xUmQQ==">CgMxLjAyDmguemN4dDVxbWEzenZ3OAByITFYQUpoYzhoQjRVZ28xTUt1S0JvTDZIY25HdEJqMTJBbQ==</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7</Pages>
  <TotalTime>0</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2025-11-26T11:52:00Z</dcterms:created>
  <dc:creator>DELL</dc:creator>
  <cp:lastModifiedBy>DELL</cp:lastModifiedBy>
  <dcterms:modified xsi:type="dcterms:W3CDTF">2026-01-29T07:35:32Z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A63248141BA4412A97F560494D0C9C6A_12</vt:lpwstr>
  </property>
</Properties>
</file>